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0C840" w14:textId="77777777" w:rsidR="00F36493" w:rsidRPr="00F36493" w:rsidRDefault="00F36493" w:rsidP="00F36493">
      <w:pPr>
        <w:spacing w:after="248"/>
        <w:ind w:left="55"/>
        <w:rPr>
          <w:rFonts w:eastAsia="Arial" w:cstheme="minorHAnsi"/>
          <w:b/>
          <w:color w:val="365F91"/>
          <w:sz w:val="28"/>
          <w:lang w:eastAsia="cs-CZ"/>
        </w:rPr>
      </w:pPr>
    </w:p>
    <w:p w14:paraId="243EEDB5" w14:textId="77777777" w:rsidR="00F36493" w:rsidRPr="00F36493" w:rsidRDefault="00F36493" w:rsidP="00F36493">
      <w:pPr>
        <w:spacing w:after="248"/>
        <w:ind w:left="55"/>
        <w:jc w:val="center"/>
        <w:rPr>
          <w:rFonts w:eastAsia="Arial" w:cstheme="minorHAnsi"/>
          <w:b/>
          <w:color w:val="365F91"/>
          <w:sz w:val="28"/>
          <w:lang w:eastAsia="cs-CZ"/>
        </w:rPr>
      </w:pPr>
      <w:r w:rsidRPr="00F36493">
        <w:rPr>
          <w:rFonts w:eastAsia="Arial" w:cstheme="minorHAnsi"/>
          <w:b/>
          <w:color w:val="365F91"/>
          <w:sz w:val="28"/>
          <w:lang w:eastAsia="cs-CZ"/>
        </w:rPr>
        <w:t>VÝZVA K PŘEDKLÁDÁNÍ ŽÁDOSTÍ DO DOTAČNÍHO PROGRAMU</w:t>
      </w:r>
    </w:p>
    <w:p w14:paraId="1D3203E9" w14:textId="77777777" w:rsidR="00F36493" w:rsidRPr="00F36493" w:rsidRDefault="00F36493" w:rsidP="00F36493">
      <w:pPr>
        <w:spacing w:after="248"/>
        <w:ind w:left="55"/>
        <w:rPr>
          <w:rFonts w:eastAsia="Arial" w:cstheme="minorHAnsi"/>
          <w:color w:val="000000"/>
          <w:lang w:eastAsia="cs-CZ"/>
        </w:rPr>
      </w:pPr>
    </w:p>
    <w:p w14:paraId="22CCBC3E" w14:textId="77777777" w:rsidR="00F36493" w:rsidRPr="00F36493" w:rsidRDefault="00F36493" w:rsidP="00F36493">
      <w:pPr>
        <w:keepNext/>
        <w:keepLines/>
        <w:spacing w:after="4"/>
        <w:ind w:left="-5" w:right="730" w:hanging="10"/>
        <w:outlineLvl w:val="0"/>
        <w:rPr>
          <w:rFonts w:eastAsia="Arial" w:cstheme="minorHAnsi"/>
          <w:b/>
          <w:color w:val="4F81BD"/>
          <w:sz w:val="26"/>
          <w:lang w:eastAsia="cs-CZ"/>
        </w:rPr>
      </w:pPr>
      <w:r w:rsidRPr="00F36493">
        <w:rPr>
          <w:rFonts w:eastAsia="Arial" w:cstheme="minorHAnsi"/>
          <w:b/>
          <w:color w:val="4F81BD"/>
          <w:sz w:val="26"/>
          <w:lang w:eastAsia="cs-CZ"/>
        </w:rPr>
        <w:t xml:space="preserve">Název programu </w:t>
      </w:r>
    </w:p>
    <w:p w14:paraId="235E4BA6" w14:textId="2622DE1C" w:rsidR="00F36493" w:rsidRPr="00F36493" w:rsidRDefault="00F36493" w:rsidP="00F36493">
      <w:pPr>
        <w:spacing w:after="258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b/>
          <w:color w:val="000000"/>
          <w:lang w:eastAsia="cs-CZ"/>
        </w:rPr>
        <w:t xml:space="preserve">Dotační program obce Týn nad Bečvou v oblasti kultury, sportu a tělovýchovy, zájmových aktivit organizací a spolků a v sociální oblasti pro rok 2021 </w:t>
      </w:r>
    </w:p>
    <w:p w14:paraId="7388F0D3" w14:textId="77777777" w:rsidR="00F36493" w:rsidRPr="00F36493" w:rsidRDefault="00F36493" w:rsidP="00F36493">
      <w:pPr>
        <w:keepNext/>
        <w:keepLines/>
        <w:spacing w:after="58"/>
        <w:ind w:left="-5" w:right="730" w:hanging="10"/>
        <w:outlineLvl w:val="0"/>
        <w:rPr>
          <w:rFonts w:eastAsia="Arial" w:cstheme="minorHAnsi"/>
          <w:b/>
          <w:color w:val="4F81BD"/>
          <w:sz w:val="26"/>
          <w:lang w:eastAsia="cs-CZ"/>
        </w:rPr>
      </w:pPr>
      <w:r w:rsidRPr="00F36493">
        <w:rPr>
          <w:rFonts w:eastAsia="Arial" w:cstheme="minorHAnsi"/>
          <w:b/>
          <w:color w:val="4F81BD"/>
          <w:sz w:val="26"/>
          <w:lang w:eastAsia="cs-CZ"/>
        </w:rPr>
        <w:t xml:space="preserve">Účel, na který mohou být peněžní prostředky poskytnuty a důvody podpory stanoveného účelu </w:t>
      </w:r>
    </w:p>
    <w:p w14:paraId="678BC077" w14:textId="77777777" w:rsidR="00F36493" w:rsidRPr="00F36493" w:rsidRDefault="00F36493" w:rsidP="00F36493">
      <w:pPr>
        <w:spacing w:after="248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Peněžní prostředky z dotačního programu obce Týn nad Bečvou se přidělují za účelem podpory kulturního a společenského života obce, aktivit v oblasti kultury, sportu a tělovýchovy a volného času se zvláštním zřetelem na vyplnění volného času dětí a mládeže. Cílem je také podpora akcí se seniory v naší obci i zdůraznění na zachování kulturních a historických tradic v obci. </w:t>
      </w:r>
    </w:p>
    <w:p w14:paraId="77639222" w14:textId="77777777" w:rsidR="00F36493" w:rsidRPr="00F36493" w:rsidRDefault="00F36493" w:rsidP="00F36493">
      <w:pPr>
        <w:spacing w:after="248"/>
        <w:ind w:left="-5" w:hanging="10"/>
        <w:jc w:val="both"/>
        <w:rPr>
          <w:rFonts w:eastAsia="Arial" w:cstheme="minorHAnsi"/>
          <w:color w:val="000000"/>
          <w:lang w:eastAsia="cs-CZ"/>
        </w:rPr>
      </w:pPr>
    </w:p>
    <w:p w14:paraId="41EA1AB0" w14:textId="77777777" w:rsidR="00F36493" w:rsidRPr="00F36493" w:rsidRDefault="00F36493" w:rsidP="00F36493">
      <w:pPr>
        <w:spacing w:after="218"/>
        <w:ind w:left="-5" w:hanging="10"/>
        <w:jc w:val="both"/>
        <w:rPr>
          <w:rFonts w:eastAsia="Arial" w:cstheme="minorHAnsi"/>
          <w:b/>
          <w:color w:val="000000"/>
          <w:lang w:eastAsia="cs-CZ"/>
        </w:rPr>
      </w:pPr>
      <w:r w:rsidRPr="00F36493">
        <w:rPr>
          <w:rFonts w:eastAsia="Arial" w:cstheme="minorHAnsi"/>
          <w:b/>
          <w:color w:val="000000"/>
          <w:lang w:eastAsia="cs-CZ"/>
        </w:rPr>
        <w:t xml:space="preserve">Dotace mohou být uděleny na projekty realizované v následujících oblastech:  </w:t>
      </w:r>
    </w:p>
    <w:p w14:paraId="4D0EA0FD" w14:textId="77777777" w:rsidR="00F36493" w:rsidRPr="00F36493" w:rsidRDefault="00F36493" w:rsidP="00F36493">
      <w:pPr>
        <w:spacing w:after="218"/>
        <w:ind w:left="-5" w:hanging="10"/>
        <w:jc w:val="both"/>
        <w:rPr>
          <w:rFonts w:eastAsia="Arial" w:cstheme="minorHAnsi"/>
          <w:color w:val="000000"/>
          <w:lang w:eastAsia="cs-CZ"/>
        </w:rPr>
      </w:pPr>
    </w:p>
    <w:p w14:paraId="4542D596" w14:textId="77777777" w:rsidR="00F36493" w:rsidRPr="00F36493" w:rsidRDefault="00F36493" w:rsidP="00F36493">
      <w:pPr>
        <w:spacing w:after="258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b/>
          <w:color w:val="000000"/>
          <w:lang w:eastAsia="cs-CZ"/>
        </w:rPr>
        <w:t xml:space="preserve">1) Kultura  </w:t>
      </w:r>
    </w:p>
    <w:p w14:paraId="3008C6DE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a) kulturní a historické tradice obce, </w:t>
      </w:r>
    </w:p>
    <w:p w14:paraId="5BC1F14A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b) kulturně vzdělávací činnost (výstavy, koncerty, festivaly a divadelní představení), </w:t>
      </w:r>
    </w:p>
    <w:p w14:paraId="3A527807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c) přednášková a publikační činnost.  </w:t>
      </w:r>
    </w:p>
    <w:p w14:paraId="08D37DB6" w14:textId="77777777" w:rsidR="00F36493" w:rsidRPr="00F36493" w:rsidRDefault="00F36493" w:rsidP="00F36493">
      <w:pPr>
        <w:spacing w:after="251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 </w:t>
      </w:r>
    </w:p>
    <w:p w14:paraId="348A6870" w14:textId="77777777" w:rsidR="00F36493" w:rsidRPr="00F36493" w:rsidRDefault="00F36493" w:rsidP="00F36493">
      <w:pPr>
        <w:spacing w:after="258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b/>
          <w:color w:val="000000"/>
          <w:lang w:eastAsia="cs-CZ"/>
        </w:rPr>
        <w:t xml:space="preserve">2) Sport a tělovýchova  </w:t>
      </w:r>
    </w:p>
    <w:p w14:paraId="3CD568CE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a) činnost různých forem pravidelných sportovních aktivit (min. 1x týdně), </w:t>
      </w:r>
    </w:p>
    <w:p w14:paraId="622271B0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b) turnaje jednotlivců i družstev, </w:t>
      </w:r>
    </w:p>
    <w:p w14:paraId="5E705862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c) sportovní akce, </w:t>
      </w:r>
    </w:p>
    <w:p w14:paraId="16FB9393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d) dlouhodobé soutěže jednotlivců i družstev. </w:t>
      </w:r>
    </w:p>
    <w:p w14:paraId="4C593E6D" w14:textId="77777777" w:rsidR="00F36493" w:rsidRPr="00F36493" w:rsidRDefault="00F36493" w:rsidP="00F36493">
      <w:pPr>
        <w:spacing w:after="251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 </w:t>
      </w:r>
    </w:p>
    <w:p w14:paraId="16BCB524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F36493">
        <w:rPr>
          <w:rFonts w:eastAsia="Times New Roman" w:cstheme="minorHAnsi"/>
          <w:b/>
          <w:lang w:eastAsia="cs-CZ"/>
        </w:rPr>
        <w:t xml:space="preserve">3) Zájmové aktivity organizací a spolků na území obce Týn n. B.: </w:t>
      </w:r>
    </w:p>
    <w:p w14:paraId="607DDBE0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57690A3F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a) volnočasové aktivity dětí a mládeže v oblasti zájmové činnosti, </w:t>
      </w:r>
    </w:p>
    <w:p w14:paraId="73BB05F9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b) soutěže jednotlivců i družstev ve všech formách zájmových činností, </w:t>
      </w:r>
    </w:p>
    <w:p w14:paraId="68E121A8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c) prezentace, výstavy. </w:t>
      </w:r>
    </w:p>
    <w:p w14:paraId="1FD52225" w14:textId="77777777" w:rsidR="00F36493" w:rsidRPr="00F36493" w:rsidRDefault="00F36493" w:rsidP="00F36493">
      <w:pPr>
        <w:spacing w:after="0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 </w:t>
      </w:r>
    </w:p>
    <w:p w14:paraId="4E8B9F6F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F36493">
        <w:rPr>
          <w:rFonts w:eastAsia="Times New Roman" w:cstheme="minorHAnsi"/>
          <w:b/>
          <w:lang w:eastAsia="cs-CZ"/>
        </w:rPr>
        <w:t xml:space="preserve">4) Sociální oblast a činnost se seniory: </w:t>
      </w:r>
    </w:p>
    <w:p w14:paraId="5D7055CA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399818E0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a) vzdělávací akce – jednorázové kurzy, </w:t>
      </w:r>
    </w:p>
    <w:p w14:paraId="1AFF11D5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b) činnosti v oblasti péče o staré a zdravotně postižené spoluobčany, </w:t>
      </w:r>
    </w:p>
    <w:p w14:paraId="465BE4A8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c) činnosti v oblasti prevence sociálně patologických jevů a prevence kriminality, </w:t>
      </w:r>
    </w:p>
    <w:p w14:paraId="4E5FD76C" w14:textId="77777777" w:rsidR="00F36493" w:rsidRPr="00F36493" w:rsidRDefault="00F36493" w:rsidP="00F36493">
      <w:pPr>
        <w:spacing w:after="0" w:line="240" w:lineRule="auto"/>
        <w:rPr>
          <w:rFonts w:eastAsia="Times New Roman" w:cstheme="minorHAnsi"/>
          <w:lang w:eastAsia="cs-CZ"/>
        </w:rPr>
      </w:pPr>
      <w:r w:rsidRPr="00F36493">
        <w:rPr>
          <w:rFonts w:eastAsia="Times New Roman" w:cstheme="minorHAnsi"/>
          <w:lang w:eastAsia="cs-CZ"/>
        </w:rPr>
        <w:t xml:space="preserve">d) činnosti v různých aktivitách pro seniory. </w:t>
      </w:r>
    </w:p>
    <w:p w14:paraId="4DD834A2" w14:textId="77777777" w:rsidR="00F36493" w:rsidRPr="00F36493" w:rsidRDefault="00F36493" w:rsidP="00F36493">
      <w:pPr>
        <w:spacing w:after="0"/>
        <w:ind w:left="10" w:right="2" w:hanging="10"/>
        <w:jc w:val="center"/>
        <w:rPr>
          <w:rFonts w:eastAsia="Calibri" w:cstheme="minorHAnsi"/>
          <w:color w:val="000000"/>
          <w:lang w:eastAsia="cs-CZ"/>
        </w:rPr>
      </w:pPr>
      <w:r w:rsidRPr="00F36493">
        <w:rPr>
          <w:rFonts w:eastAsia="Calibri" w:cstheme="minorHAnsi"/>
          <w:color w:val="000000"/>
          <w:lang w:eastAsia="cs-CZ"/>
        </w:rPr>
        <w:t xml:space="preserve"> </w:t>
      </w:r>
    </w:p>
    <w:p w14:paraId="7A6801FD" w14:textId="77777777" w:rsidR="00F36493" w:rsidRPr="00F36493" w:rsidRDefault="00F36493" w:rsidP="00F36493">
      <w:pPr>
        <w:spacing w:after="0"/>
        <w:ind w:left="10" w:right="2" w:hanging="10"/>
        <w:jc w:val="center"/>
        <w:rPr>
          <w:rFonts w:eastAsia="Calibri" w:cstheme="minorHAnsi"/>
          <w:color w:val="000000"/>
          <w:lang w:eastAsia="cs-CZ"/>
        </w:rPr>
      </w:pPr>
    </w:p>
    <w:p w14:paraId="032150A2" w14:textId="77777777" w:rsidR="00F36493" w:rsidRPr="00F36493" w:rsidRDefault="00F36493" w:rsidP="00F36493">
      <w:pPr>
        <w:spacing w:after="0"/>
        <w:ind w:left="10" w:right="2" w:hanging="10"/>
        <w:jc w:val="center"/>
        <w:rPr>
          <w:rFonts w:eastAsia="Calibri" w:cstheme="minorHAnsi"/>
          <w:color w:val="000000"/>
          <w:lang w:eastAsia="cs-CZ"/>
        </w:rPr>
      </w:pPr>
    </w:p>
    <w:p w14:paraId="301F04EF" w14:textId="77777777" w:rsidR="00F36493" w:rsidRPr="00F36493" w:rsidRDefault="00F36493" w:rsidP="00F36493">
      <w:pPr>
        <w:spacing w:after="0"/>
        <w:ind w:left="10" w:right="2" w:hanging="10"/>
        <w:jc w:val="center"/>
        <w:rPr>
          <w:rFonts w:eastAsia="Arial" w:cstheme="minorHAnsi"/>
          <w:color w:val="000000"/>
          <w:lang w:eastAsia="cs-CZ"/>
        </w:rPr>
      </w:pPr>
      <w:r w:rsidRPr="00F36493">
        <w:rPr>
          <w:rFonts w:eastAsia="Calibri" w:cstheme="minorHAnsi"/>
          <w:color w:val="000000"/>
          <w:lang w:eastAsia="cs-CZ"/>
        </w:rPr>
        <w:t xml:space="preserve">1 </w:t>
      </w:r>
    </w:p>
    <w:p w14:paraId="310D1381" w14:textId="77777777" w:rsidR="00F36493" w:rsidRPr="00F36493" w:rsidRDefault="00F36493" w:rsidP="00F36493">
      <w:pPr>
        <w:spacing w:after="182"/>
        <w:rPr>
          <w:rFonts w:eastAsia="Arial" w:cstheme="minorHAnsi"/>
          <w:color w:val="000000"/>
          <w:lang w:eastAsia="cs-CZ"/>
        </w:rPr>
      </w:pPr>
      <w:r w:rsidRPr="00F36493">
        <w:rPr>
          <w:rFonts w:eastAsia="Calibri" w:cstheme="minorHAnsi"/>
          <w:color w:val="000000"/>
          <w:lang w:eastAsia="cs-CZ"/>
        </w:rPr>
        <w:lastRenderedPageBreak/>
        <w:t xml:space="preserve"> </w:t>
      </w:r>
    </w:p>
    <w:p w14:paraId="5DB1FBB3" w14:textId="77777777" w:rsidR="00F36493" w:rsidRPr="00F36493" w:rsidRDefault="00F36493" w:rsidP="00F36493">
      <w:pPr>
        <w:spacing w:after="50"/>
        <w:ind w:left="-5" w:right="730" w:hanging="10"/>
        <w:rPr>
          <w:rFonts w:eastAsia="Arial" w:cstheme="minorHAnsi"/>
          <w:b/>
          <w:color w:val="4F81BD"/>
          <w:sz w:val="26"/>
          <w:lang w:eastAsia="cs-CZ"/>
        </w:rPr>
      </w:pPr>
    </w:p>
    <w:p w14:paraId="1011F8F1" w14:textId="77777777" w:rsidR="00F36493" w:rsidRPr="00F36493" w:rsidRDefault="00F36493" w:rsidP="00F36493">
      <w:pPr>
        <w:spacing w:after="50"/>
        <w:ind w:left="-5" w:right="730" w:hanging="10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b/>
          <w:color w:val="4F81BD"/>
          <w:sz w:val="26"/>
          <w:lang w:eastAsia="cs-CZ"/>
        </w:rPr>
        <w:t xml:space="preserve">Předpokládaný celkový objem peněžních prostředků vyčleněných v rozpočtu na podporu stanoveného účelu </w:t>
      </w:r>
    </w:p>
    <w:p w14:paraId="1C87F325" w14:textId="31823ADC" w:rsidR="00F36493" w:rsidRPr="00F36493" w:rsidRDefault="00C61286" w:rsidP="00F36493">
      <w:pPr>
        <w:spacing w:after="296"/>
        <w:ind w:left="704"/>
        <w:jc w:val="center"/>
        <w:rPr>
          <w:rFonts w:eastAsia="Arial" w:cstheme="minorHAnsi"/>
          <w:color w:val="000000"/>
          <w:lang w:eastAsia="cs-CZ"/>
        </w:rPr>
      </w:pPr>
      <w:r>
        <w:rPr>
          <w:rFonts w:eastAsia="Arial" w:cstheme="minorHAnsi"/>
          <w:color w:val="000000"/>
          <w:lang w:eastAsia="cs-CZ"/>
        </w:rPr>
        <w:t>80</w:t>
      </w:r>
      <w:r w:rsidR="00F36493" w:rsidRPr="00F36493">
        <w:rPr>
          <w:rFonts w:eastAsia="Arial" w:cstheme="minorHAnsi"/>
          <w:color w:val="000000"/>
          <w:lang w:eastAsia="cs-CZ"/>
        </w:rPr>
        <w:t xml:space="preserve">.000 Kč  </w:t>
      </w:r>
    </w:p>
    <w:p w14:paraId="268791C2" w14:textId="77777777" w:rsidR="00F36493" w:rsidRPr="00F36493" w:rsidRDefault="00F36493" w:rsidP="00F36493">
      <w:pPr>
        <w:spacing w:after="296"/>
        <w:ind w:left="704"/>
        <w:jc w:val="center"/>
        <w:rPr>
          <w:rFonts w:eastAsia="Arial" w:cstheme="minorHAnsi"/>
          <w:color w:val="000000"/>
          <w:lang w:eastAsia="cs-CZ"/>
        </w:rPr>
      </w:pPr>
    </w:p>
    <w:p w14:paraId="39EF859C" w14:textId="77777777" w:rsidR="00F36493" w:rsidRPr="00F36493" w:rsidRDefault="00F36493" w:rsidP="00F36493">
      <w:pPr>
        <w:keepNext/>
        <w:keepLines/>
        <w:spacing w:after="4"/>
        <w:ind w:left="-5" w:right="730" w:hanging="10"/>
        <w:outlineLvl w:val="0"/>
        <w:rPr>
          <w:rFonts w:eastAsia="Arial" w:cstheme="minorHAnsi"/>
          <w:b/>
          <w:color w:val="4F81BD"/>
          <w:sz w:val="26"/>
          <w:lang w:eastAsia="cs-CZ"/>
        </w:rPr>
      </w:pPr>
      <w:r w:rsidRPr="00F36493">
        <w:rPr>
          <w:rFonts w:eastAsia="Arial" w:cstheme="minorHAnsi"/>
          <w:b/>
          <w:color w:val="4F81BD"/>
          <w:sz w:val="26"/>
          <w:lang w:eastAsia="cs-CZ"/>
        </w:rPr>
        <w:t xml:space="preserve">Maximální výše dotace v jednotlivém případě </w:t>
      </w:r>
    </w:p>
    <w:p w14:paraId="34E58C1C" w14:textId="77777777" w:rsidR="00F36493" w:rsidRPr="00F36493" w:rsidRDefault="00F36493" w:rsidP="00F36493">
      <w:pPr>
        <w:spacing w:after="281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Maximální výše poskytnuté dotace </w:t>
      </w:r>
      <w:proofErr w:type="gramStart"/>
      <w:r w:rsidRPr="00F36493">
        <w:rPr>
          <w:rFonts w:eastAsia="Arial" w:cstheme="minorHAnsi"/>
          <w:color w:val="000000"/>
          <w:lang w:eastAsia="cs-CZ"/>
        </w:rPr>
        <w:t xml:space="preserve">je  </w:t>
      </w:r>
      <w:r w:rsidRPr="00F36493">
        <w:rPr>
          <w:rFonts w:eastAsia="Arial" w:cstheme="minorHAnsi"/>
          <w:b/>
          <w:color w:val="000000"/>
          <w:lang w:eastAsia="cs-CZ"/>
        </w:rPr>
        <w:t>80</w:t>
      </w:r>
      <w:proofErr w:type="gramEnd"/>
      <w:r w:rsidRPr="00F36493">
        <w:rPr>
          <w:rFonts w:eastAsia="Arial" w:cstheme="minorHAnsi"/>
          <w:b/>
          <w:color w:val="000000"/>
          <w:lang w:eastAsia="cs-CZ"/>
        </w:rPr>
        <w:t xml:space="preserve"> %  celkových nákladů předkládaného projektu</w:t>
      </w:r>
      <w:r w:rsidRPr="00F36493">
        <w:rPr>
          <w:rFonts w:eastAsia="Arial" w:cstheme="minorHAnsi"/>
          <w:color w:val="000000"/>
          <w:lang w:eastAsia="cs-CZ"/>
        </w:rPr>
        <w:t xml:space="preserve">. </w:t>
      </w:r>
      <w:proofErr w:type="gramStart"/>
      <w:r w:rsidRPr="00F36493">
        <w:rPr>
          <w:rFonts w:eastAsia="Arial" w:cstheme="minorHAnsi"/>
          <w:color w:val="000000"/>
          <w:lang w:eastAsia="cs-CZ"/>
        </w:rPr>
        <w:t>Minimální  podíl</w:t>
      </w:r>
      <w:proofErr w:type="gramEnd"/>
      <w:r w:rsidRPr="00F36493">
        <w:rPr>
          <w:rFonts w:eastAsia="Arial" w:cstheme="minorHAnsi"/>
          <w:color w:val="000000"/>
          <w:lang w:eastAsia="cs-CZ"/>
        </w:rPr>
        <w:t xml:space="preserve">  finanční  spoluúčasti  příjemce  z vlastních nebo jiných finančních zdrojů je 20 % z celkových skutečných nákladů projektu.  </w:t>
      </w:r>
    </w:p>
    <w:p w14:paraId="653CF13A" w14:textId="77777777" w:rsidR="00F36493" w:rsidRPr="00F36493" w:rsidRDefault="00F36493" w:rsidP="00F36493">
      <w:pPr>
        <w:spacing w:after="281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  </w:t>
      </w:r>
    </w:p>
    <w:p w14:paraId="6DFF1CDA" w14:textId="77777777" w:rsidR="00F36493" w:rsidRPr="00F36493" w:rsidRDefault="00F36493" w:rsidP="00F36493">
      <w:pPr>
        <w:keepNext/>
        <w:keepLines/>
        <w:spacing w:after="4"/>
        <w:ind w:left="-5" w:right="730" w:hanging="10"/>
        <w:outlineLvl w:val="0"/>
        <w:rPr>
          <w:rFonts w:eastAsia="Arial" w:cstheme="minorHAnsi"/>
          <w:b/>
          <w:color w:val="4F81BD"/>
          <w:sz w:val="26"/>
          <w:lang w:eastAsia="cs-CZ"/>
        </w:rPr>
      </w:pPr>
      <w:r w:rsidRPr="00F36493">
        <w:rPr>
          <w:rFonts w:eastAsia="Arial" w:cstheme="minorHAnsi"/>
          <w:b/>
          <w:color w:val="4F81BD"/>
          <w:sz w:val="26"/>
          <w:lang w:eastAsia="cs-CZ"/>
        </w:rPr>
        <w:t xml:space="preserve">Okruh způsobilých žadatelů </w:t>
      </w:r>
    </w:p>
    <w:p w14:paraId="6F02CEC7" w14:textId="77777777" w:rsidR="00F36493" w:rsidRPr="00F36493" w:rsidRDefault="00F36493" w:rsidP="00F36493">
      <w:pPr>
        <w:spacing w:after="293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Předkladateli žádosti o dotaci mohou být fyzické osoby i právnické osoby charakteru neziskových organizací (občanská sdružení, soubory, spolky, nadace a další nekomerční organizace), které mají sídlo na území obce a příspěvkové organizace, jejichž zřizovatelem je obec Týn nad Bečvou nebo žádají o dotaci ve prospěch občanů obce. Jeden žadatel může předložit i více žádostí na různé projekty. </w:t>
      </w:r>
    </w:p>
    <w:p w14:paraId="59C3A499" w14:textId="77777777" w:rsidR="00F36493" w:rsidRPr="00F36493" w:rsidRDefault="00F36493" w:rsidP="00F36493">
      <w:pPr>
        <w:spacing w:after="293"/>
        <w:ind w:left="-5" w:hanging="10"/>
        <w:jc w:val="both"/>
        <w:rPr>
          <w:rFonts w:eastAsia="Arial" w:cstheme="minorHAnsi"/>
          <w:color w:val="000000"/>
          <w:lang w:eastAsia="cs-CZ"/>
        </w:rPr>
      </w:pPr>
    </w:p>
    <w:p w14:paraId="418E689C" w14:textId="77777777" w:rsidR="00F36493" w:rsidRPr="00F36493" w:rsidRDefault="00F36493" w:rsidP="00F36493">
      <w:pPr>
        <w:keepNext/>
        <w:keepLines/>
        <w:spacing w:after="4"/>
        <w:ind w:left="-5" w:right="730" w:hanging="10"/>
        <w:outlineLvl w:val="0"/>
        <w:rPr>
          <w:rFonts w:eastAsia="Arial" w:cstheme="minorHAnsi"/>
          <w:b/>
          <w:color w:val="4F81BD"/>
          <w:sz w:val="26"/>
          <w:lang w:eastAsia="cs-CZ"/>
        </w:rPr>
      </w:pPr>
      <w:r w:rsidRPr="00F36493">
        <w:rPr>
          <w:rFonts w:eastAsia="Arial" w:cstheme="minorHAnsi"/>
          <w:b/>
          <w:color w:val="4F81BD"/>
          <w:sz w:val="26"/>
          <w:lang w:eastAsia="cs-CZ"/>
        </w:rPr>
        <w:t xml:space="preserve">Lhůta pro podání žádostí </w:t>
      </w:r>
    </w:p>
    <w:p w14:paraId="0F4FF926" w14:textId="2211D682" w:rsidR="00F36493" w:rsidRPr="00F36493" w:rsidRDefault="00F36493" w:rsidP="00F36493">
      <w:pPr>
        <w:spacing w:after="251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Žádosti o přidělení dotací se přijímají v termínu </w:t>
      </w:r>
      <w:r w:rsidRPr="00F36493">
        <w:rPr>
          <w:rFonts w:eastAsia="Arial" w:cstheme="minorHAnsi"/>
          <w:b/>
          <w:color w:val="000000"/>
          <w:lang w:eastAsia="cs-CZ"/>
        </w:rPr>
        <w:t>od 2. ledna do 31. ledna 2021</w:t>
      </w:r>
      <w:r w:rsidRPr="00F36493">
        <w:rPr>
          <w:rFonts w:eastAsia="Arial" w:cstheme="minorHAnsi"/>
          <w:color w:val="000000"/>
          <w:lang w:eastAsia="cs-CZ"/>
        </w:rPr>
        <w:t xml:space="preserve"> </w:t>
      </w:r>
      <w:r w:rsidRPr="00F36493">
        <w:rPr>
          <w:rFonts w:eastAsia="Arial" w:cstheme="minorHAnsi"/>
          <w:b/>
          <w:color w:val="000000"/>
          <w:lang w:eastAsia="cs-CZ"/>
        </w:rPr>
        <w:t>na stanoveném formuláři.</w:t>
      </w:r>
      <w:r w:rsidRPr="00F36493">
        <w:rPr>
          <w:rFonts w:eastAsia="Arial" w:cstheme="minorHAnsi"/>
          <w:color w:val="000000"/>
          <w:lang w:eastAsia="cs-CZ"/>
        </w:rPr>
        <w:t xml:space="preserve">  Žádost o dotaci musí být nejpozději 31. ledna 2021 fyzicky přijata v kanceláři Obecního úřadu Týn nad Bečvou, Náves </w:t>
      </w:r>
      <w:proofErr w:type="spellStart"/>
      <w:r w:rsidRPr="00F36493">
        <w:rPr>
          <w:rFonts w:eastAsia="Arial" w:cstheme="minorHAnsi"/>
          <w:color w:val="000000"/>
          <w:lang w:eastAsia="cs-CZ"/>
        </w:rPr>
        <w:t>B.Smetany</w:t>
      </w:r>
      <w:proofErr w:type="spellEnd"/>
      <w:r w:rsidRPr="00F36493">
        <w:rPr>
          <w:rFonts w:eastAsia="Arial" w:cstheme="minorHAnsi"/>
          <w:color w:val="000000"/>
          <w:lang w:eastAsia="cs-CZ"/>
        </w:rPr>
        <w:t xml:space="preserve"> 68, 75132 Týn nad Bečvou. K později doručeným žádostem nebude brán zřetel. </w:t>
      </w:r>
    </w:p>
    <w:p w14:paraId="0A15DD6E" w14:textId="77777777" w:rsidR="00F36493" w:rsidRPr="00F36493" w:rsidRDefault="00F36493" w:rsidP="00F36493">
      <w:pPr>
        <w:spacing w:after="211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Formulář žádosti o dotaci je k dispozici v kanceláři Obecního úřadu Týn nad Bečvou u administrativního pracovníka obecního úřadu a na webových stránkách obce Týn nad Bečvou: </w:t>
      </w:r>
    </w:p>
    <w:p w14:paraId="03DC8867" w14:textId="77777777" w:rsidR="00F36493" w:rsidRPr="00F36493" w:rsidRDefault="00C61286" w:rsidP="00F36493">
      <w:pPr>
        <w:spacing w:after="215"/>
        <w:ind w:right="4"/>
        <w:jc w:val="center"/>
        <w:rPr>
          <w:rFonts w:eastAsia="Arial" w:cstheme="minorHAnsi"/>
          <w:color w:val="FF0000"/>
          <w:lang w:eastAsia="cs-CZ"/>
        </w:rPr>
      </w:pPr>
      <w:hyperlink r:id="rId5" w:history="1">
        <w:r w:rsidR="00F36493" w:rsidRPr="00F36493">
          <w:rPr>
            <w:rFonts w:eastAsia="Arial" w:cstheme="minorHAnsi"/>
            <w:color w:val="FF0000"/>
            <w:u w:val="single"/>
            <w:lang w:eastAsia="cs-CZ"/>
          </w:rPr>
          <w:t>http://www.tynnb.cz/index.php?nid=1019&amp;lid=cs&amp;oid=2660374</w:t>
        </w:r>
      </w:hyperlink>
      <w:r w:rsidR="00F36493" w:rsidRPr="00F36493">
        <w:rPr>
          <w:rFonts w:eastAsia="Arial" w:cstheme="minorHAnsi"/>
          <w:color w:val="FF0000"/>
          <w:lang w:eastAsia="cs-CZ"/>
        </w:rPr>
        <w:t xml:space="preserve">  </w:t>
      </w:r>
    </w:p>
    <w:p w14:paraId="3E6976D0" w14:textId="77777777" w:rsidR="00F36493" w:rsidRPr="00F36493" w:rsidRDefault="00F36493" w:rsidP="00F36493">
      <w:pPr>
        <w:spacing w:after="243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>Administrátorem žádostí na Obecním úřadě Týn nad Bečvou je určena pracovnice kanceláře obecního úřadu.</w:t>
      </w:r>
    </w:p>
    <w:p w14:paraId="6EFFE785" w14:textId="77777777" w:rsidR="00F36493" w:rsidRPr="00F36493" w:rsidRDefault="00F36493" w:rsidP="00F36493">
      <w:pPr>
        <w:spacing w:after="294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>Žádost musí být vyplněna ve všech bodech a doložena požadovanými přílohami a doklady dle Článku 6 Zásad pro poskytování programových dotací v oblasti kultury, sportu a tělovýchovy, zájmových aktivit organizací a spolků a v sociální oblasti.</w:t>
      </w:r>
    </w:p>
    <w:p w14:paraId="6A61D0FA" w14:textId="77777777" w:rsidR="00F36493" w:rsidRPr="00F36493" w:rsidRDefault="00F36493" w:rsidP="00F36493">
      <w:pPr>
        <w:spacing w:after="294"/>
        <w:ind w:left="-5" w:hanging="10"/>
        <w:jc w:val="both"/>
        <w:rPr>
          <w:rFonts w:eastAsia="Arial" w:cstheme="minorHAnsi"/>
          <w:color w:val="000000"/>
          <w:lang w:eastAsia="cs-CZ"/>
        </w:rPr>
      </w:pPr>
    </w:p>
    <w:p w14:paraId="459AE3CE" w14:textId="77777777" w:rsidR="00F36493" w:rsidRPr="00F36493" w:rsidRDefault="00F36493" w:rsidP="00F36493">
      <w:pPr>
        <w:keepNext/>
        <w:keepLines/>
        <w:spacing w:after="4"/>
        <w:ind w:left="-5" w:right="730" w:hanging="10"/>
        <w:outlineLvl w:val="0"/>
        <w:rPr>
          <w:rFonts w:eastAsia="Arial" w:cstheme="minorHAnsi"/>
          <w:b/>
          <w:color w:val="4F81BD"/>
          <w:sz w:val="26"/>
          <w:lang w:eastAsia="cs-CZ"/>
        </w:rPr>
      </w:pPr>
      <w:r w:rsidRPr="00F36493">
        <w:rPr>
          <w:rFonts w:eastAsia="Arial" w:cstheme="minorHAnsi"/>
          <w:b/>
          <w:color w:val="4F81BD"/>
          <w:sz w:val="26"/>
          <w:lang w:eastAsia="cs-CZ"/>
        </w:rPr>
        <w:t xml:space="preserve">Kritéria pro hodnocení žádostí </w:t>
      </w:r>
    </w:p>
    <w:p w14:paraId="62223FA2" w14:textId="77777777" w:rsidR="00F36493" w:rsidRPr="00F36493" w:rsidRDefault="00F36493" w:rsidP="00F36493">
      <w:pPr>
        <w:spacing w:after="271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Každá žádost bude zhodnocena po stránce </w:t>
      </w:r>
      <w:r w:rsidRPr="00F36493">
        <w:rPr>
          <w:rFonts w:eastAsia="Arial" w:cstheme="minorHAnsi"/>
          <w:b/>
          <w:color w:val="000000"/>
          <w:u w:val="single" w:color="000000"/>
          <w:lang w:eastAsia="cs-CZ"/>
        </w:rPr>
        <w:t>formální a věcné</w:t>
      </w:r>
      <w:r w:rsidRPr="00F36493">
        <w:rPr>
          <w:rFonts w:eastAsia="Arial" w:cstheme="minorHAnsi"/>
          <w:color w:val="000000"/>
          <w:u w:val="single" w:color="000000"/>
          <w:lang w:eastAsia="cs-CZ"/>
        </w:rPr>
        <w:t>.</w:t>
      </w:r>
      <w:r w:rsidRPr="00F36493">
        <w:rPr>
          <w:rFonts w:eastAsia="Arial" w:cstheme="minorHAnsi"/>
          <w:color w:val="000000"/>
          <w:lang w:eastAsia="cs-CZ"/>
        </w:rPr>
        <w:t xml:space="preserve">  </w:t>
      </w:r>
    </w:p>
    <w:p w14:paraId="56F015F9" w14:textId="77777777" w:rsidR="00F36493" w:rsidRPr="00F36493" w:rsidRDefault="00F36493" w:rsidP="00F36493">
      <w:pPr>
        <w:numPr>
          <w:ilvl w:val="0"/>
          <w:numId w:val="1"/>
        </w:numPr>
        <w:spacing w:after="53"/>
        <w:ind w:right="3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Formální: předložení žádosti na požadovaném formuláři, ve stanovené lhůtě včetně povinných příloh a dokladů. </w:t>
      </w:r>
    </w:p>
    <w:p w14:paraId="5387CF6B" w14:textId="77777777" w:rsidR="00F36493" w:rsidRPr="00F36493" w:rsidRDefault="00F36493" w:rsidP="00F36493">
      <w:pPr>
        <w:numPr>
          <w:ilvl w:val="0"/>
          <w:numId w:val="1"/>
        </w:numPr>
        <w:spacing w:after="53"/>
        <w:ind w:right="3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Věcné: věcnou stránkou projektu se rozumí úroveň naplnění cíle dotačního řízení dle Článku 1 a 9. Zásad pro poskytování programových dotací v oblasti kultury, sportu a tělovýchovy, zájmových aktivit organizací a spolků a v sociální oblasti. </w:t>
      </w:r>
      <w:r w:rsidRPr="00F36493">
        <w:rPr>
          <w:rFonts w:eastAsia="Arial" w:cstheme="minorHAnsi"/>
          <w:color w:val="000000"/>
          <w:lang w:eastAsia="cs-CZ"/>
        </w:rPr>
        <w:tab/>
        <w:t xml:space="preserve"> </w:t>
      </w:r>
    </w:p>
    <w:p w14:paraId="1C2D0D2C" w14:textId="77777777" w:rsidR="00F36493" w:rsidRPr="00F36493" w:rsidRDefault="00F36493" w:rsidP="00F36493">
      <w:pPr>
        <w:spacing w:after="0"/>
        <w:rPr>
          <w:rFonts w:eastAsia="Arial" w:cstheme="minorHAnsi"/>
          <w:color w:val="000000"/>
          <w:lang w:eastAsia="cs-CZ"/>
        </w:rPr>
      </w:pPr>
      <w:r w:rsidRPr="00F36493">
        <w:rPr>
          <w:rFonts w:eastAsia="Calibri" w:cstheme="minorHAnsi"/>
          <w:color w:val="000000"/>
          <w:lang w:eastAsia="cs-CZ"/>
        </w:rPr>
        <w:lastRenderedPageBreak/>
        <w:t xml:space="preserve"> </w:t>
      </w:r>
    </w:p>
    <w:p w14:paraId="075F0789" w14:textId="77777777" w:rsidR="00F36493" w:rsidRPr="00F36493" w:rsidRDefault="00F36493" w:rsidP="00F36493">
      <w:pPr>
        <w:spacing w:after="0"/>
        <w:ind w:left="10" w:right="2" w:hanging="10"/>
        <w:jc w:val="center"/>
        <w:rPr>
          <w:rFonts w:eastAsia="Calibri" w:cstheme="minorHAnsi"/>
          <w:color w:val="000000"/>
          <w:lang w:eastAsia="cs-CZ"/>
        </w:rPr>
      </w:pPr>
    </w:p>
    <w:p w14:paraId="63B0CF3C" w14:textId="77777777" w:rsidR="00F36493" w:rsidRPr="00F36493" w:rsidRDefault="00F36493" w:rsidP="00F36493">
      <w:pPr>
        <w:spacing w:after="0"/>
        <w:ind w:left="10" w:right="2" w:hanging="10"/>
        <w:jc w:val="center"/>
        <w:rPr>
          <w:rFonts w:eastAsia="Arial" w:cstheme="minorHAnsi"/>
          <w:color w:val="000000"/>
          <w:lang w:eastAsia="cs-CZ"/>
        </w:rPr>
      </w:pPr>
      <w:r w:rsidRPr="00F36493">
        <w:rPr>
          <w:rFonts w:eastAsia="Calibri" w:cstheme="minorHAnsi"/>
          <w:color w:val="000000"/>
          <w:lang w:eastAsia="cs-CZ"/>
        </w:rPr>
        <w:t xml:space="preserve">2 </w:t>
      </w:r>
    </w:p>
    <w:p w14:paraId="110B210B" w14:textId="77777777" w:rsidR="00F36493" w:rsidRPr="00F36493" w:rsidRDefault="00F36493" w:rsidP="00F36493">
      <w:pPr>
        <w:spacing w:after="146"/>
        <w:rPr>
          <w:rFonts w:eastAsia="Arial" w:cstheme="minorHAnsi"/>
          <w:color w:val="000000"/>
          <w:lang w:eastAsia="cs-CZ"/>
        </w:rPr>
      </w:pPr>
      <w:r w:rsidRPr="00F36493">
        <w:rPr>
          <w:rFonts w:eastAsia="Calibri" w:cstheme="minorHAnsi"/>
          <w:color w:val="000000"/>
          <w:lang w:eastAsia="cs-CZ"/>
        </w:rPr>
        <w:t xml:space="preserve"> </w:t>
      </w:r>
    </w:p>
    <w:p w14:paraId="72FF5A37" w14:textId="77777777" w:rsidR="00F36493" w:rsidRPr="00F36493" w:rsidRDefault="00F36493" w:rsidP="00F36493">
      <w:pPr>
        <w:spacing w:after="299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 </w:t>
      </w:r>
    </w:p>
    <w:p w14:paraId="4934EB2A" w14:textId="77777777" w:rsidR="00F36493" w:rsidRPr="00F36493" w:rsidRDefault="00F36493" w:rsidP="00F36493">
      <w:pPr>
        <w:keepNext/>
        <w:keepLines/>
        <w:spacing w:after="4"/>
        <w:ind w:right="730"/>
        <w:outlineLvl w:val="0"/>
        <w:rPr>
          <w:rFonts w:eastAsia="Arial" w:cstheme="minorHAnsi"/>
          <w:b/>
          <w:color w:val="4F81BD"/>
          <w:sz w:val="26"/>
          <w:lang w:eastAsia="cs-CZ"/>
        </w:rPr>
      </w:pPr>
      <w:r w:rsidRPr="00F36493">
        <w:rPr>
          <w:rFonts w:eastAsia="Arial" w:cstheme="minorHAnsi"/>
          <w:b/>
          <w:color w:val="4F81BD"/>
          <w:sz w:val="26"/>
          <w:lang w:eastAsia="cs-CZ"/>
        </w:rPr>
        <w:t xml:space="preserve">Lhůta pro rozhodnutí o žádosti </w:t>
      </w:r>
    </w:p>
    <w:p w14:paraId="0E2E756A" w14:textId="77777777" w:rsidR="00F36493" w:rsidRPr="00F36493" w:rsidRDefault="00F36493" w:rsidP="00F36493">
      <w:pPr>
        <w:spacing w:after="295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Do 35 dnů po uzávěrce přijímání žádostí navrhne výši dotací Komise grantová, která pro své rozhodnutí může spolupracovat s Komisí kulturní a letopiseckou, Komisí sociální a zdravotní a Komisí pro rozvoj spolkové činnosti a sportu. Komise grantová předloží návrh radě obce na jejím nejbližším zasedání. </w:t>
      </w:r>
    </w:p>
    <w:p w14:paraId="275B1E1B" w14:textId="77777777" w:rsidR="00F36493" w:rsidRPr="00F36493" w:rsidRDefault="00F36493" w:rsidP="00F36493">
      <w:pPr>
        <w:keepNext/>
        <w:keepLines/>
        <w:spacing w:after="4"/>
        <w:ind w:left="-5" w:right="730" w:hanging="10"/>
        <w:outlineLvl w:val="0"/>
        <w:rPr>
          <w:rFonts w:eastAsia="Arial" w:cstheme="minorHAnsi"/>
          <w:b/>
          <w:color w:val="4F81BD"/>
          <w:sz w:val="26"/>
          <w:lang w:eastAsia="cs-CZ"/>
        </w:rPr>
      </w:pPr>
      <w:r w:rsidRPr="00F36493">
        <w:rPr>
          <w:rFonts w:eastAsia="Arial" w:cstheme="minorHAnsi"/>
          <w:b/>
          <w:color w:val="4F81BD"/>
          <w:sz w:val="26"/>
          <w:lang w:eastAsia="cs-CZ"/>
        </w:rPr>
        <w:t xml:space="preserve">Podmínky pro poskytnutí dotace </w:t>
      </w:r>
    </w:p>
    <w:p w14:paraId="6D9EA6EE" w14:textId="77777777" w:rsidR="00F36493" w:rsidRPr="00F36493" w:rsidRDefault="00F36493" w:rsidP="00F364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/>
          <w:bCs/>
          <w:kern w:val="3"/>
          <w:lang w:eastAsia="cs-CZ"/>
        </w:rPr>
      </w:pPr>
      <w:r w:rsidRPr="00F36493">
        <w:rPr>
          <w:rFonts w:eastAsia="Arial Unicode MS" w:cstheme="minorHAnsi"/>
          <w:kern w:val="3"/>
          <w:lang w:eastAsia="cs-CZ"/>
        </w:rPr>
        <w:t xml:space="preserve">Podmínky pro poskytnutí dotace jsou uvedeny </w:t>
      </w:r>
      <w:proofErr w:type="gramStart"/>
      <w:r w:rsidRPr="00F36493">
        <w:rPr>
          <w:rFonts w:eastAsia="Arial Unicode MS" w:cstheme="minorHAnsi"/>
          <w:kern w:val="3"/>
          <w:lang w:eastAsia="cs-CZ"/>
        </w:rPr>
        <w:t xml:space="preserve">v  </w:t>
      </w:r>
      <w:r w:rsidRPr="00F36493">
        <w:rPr>
          <w:rFonts w:eastAsia="Arial Unicode MS" w:cstheme="minorHAnsi"/>
          <w:b/>
          <w:kern w:val="3"/>
          <w:lang w:eastAsia="cs-CZ"/>
        </w:rPr>
        <w:t>Zá</w:t>
      </w:r>
      <w:r w:rsidRPr="00F36493">
        <w:rPr>
          <w:rFonts w:eastAsia="Arial Unicode MS" w:cstheme="minorHAnsi"/>
          <w:b/>
          <w:bCs/>
          <w:kern w:val="3"/>
          <w:lang w:eastAsia="cs-CZ"/>
        </w:rPr>
        <w:t>sadách</w:t>
      </w:r>
      <w:proofErr w:type="gramEnd"/>
      <w:r w:rsidRPr="00F36493">
        <w:rPr>
          <w:rFonts w:eastAsia="Arial Unicode MS" w:cstheme="minorHAnsi"/>
          <w:b/>
          <w:bCs/>
          <w:kern w:val="3"/>
          <w:lang w:eastAsia="cs-CZ"/>
        </w:rPr>
        <w:t xml:space="preserve">  pro poskytování  programových dotací v oblasti  kultury, sportu a tělovýchovy, zájmových aktivit organizací a spolků a v sociální oblasti.</w:t>
      </w:r>
    </w:p>
    <w:p w14:paraId="7A76F058" w14:textId="77777777" w:rsidR="00F36493" w:rsidRPr="00F36493" w:rsidRDefault="00F36493" w:rsidP="00F364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/>
          <w:bCs/>
          <w:kern w:val="3"/>
          <w:lang w:eastAsia="cs-CZ"/>
        </w:rPr>
      </w:pPr>
    </w:p>
    <w:p w14:paraId="3FEF51C9" w14:textId="77777777" w:rsidR="00F36493" w:rsidRPr="00F36493" w:rsidRDefault="00F36493" w:rsidP="00F36493">
      <w:pPr>
        <w:spacing w:after="220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i/>
          <w:color w:val="FF0000"/>
          <w:lang w:eastAsia="cs-CZ"/>
        </w:rPr>
        <w:t>Dokument uveden v příloze</w:t>
      </w:r>
      <w:r w:rsidRPr="00F36493">
        <w:rPr>
          <w:rFonts w:eastAsia="Arial" w:cstheme="minorHAnsi"/>
          <w:i/>
          <w:color w:val="000000"/>
          <w:lang w:eastAsia="cs-CZ"/>
        </w:rPr>
        <w:t xml:space="preserve">. </w:t>
      </w:r>
    </w:p>
    <w:p w14:paraId="5B21628F" w14:textId="2620F992" w:rsidR="00F36493" w:rsidRPr="00F36493" w:rsidRDefault="00F36493" w:rsidP="00F36493">
      <w:pPr>
        <w:spacing w:after="292"/>
        <w:ind w:left="-5" w:hanging="10"/>
        <w:jc w:val="both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Projekt, na nějž je dotace poskytována, musí být realizován v období od 01.01.2021 do 30.11.2021. Z dotace lze hradit uznatelné náklady, které vznikly v souvislosti s realizací projektu v uvedeném období. </w:t>
      </w:r>
    </w:p>
    <w:p w14:paraId="2ACF0049" w14:textId="77777777" w:rsidR="00F36493" w:rsidRPr="00F36493" w:rsidRDefault="00F36493" w:rsidP="00F36493">
      <w:pPr>
        <w:keepNext/>
        <w:keepLines/>
        <w:spacing w:after="4"/>
        <w:ind w:left="-5" w:right="730" w:hanging="10"/>
        <w:outlineLvl w:val="0"/>
        <w:rPr>
          <w:rFonts w:eastAsia="Arial" w:cstheme="minorHAnsi"/>
          <w:b/>
          <w:color w:val="4F81BD"/>
          <w:sz w:val="26"/>
          <w:lang w:eastAsia="cs-CZ"/>
        </w:rPr>
      </w:pPr>
      <w:r w:rsidRPr="00F36493">
        <w:rPr>
          <w:rFonts w:eastAsia="Arial" w:cstheme="minorHAnsi"/>
          <w:b/>
          <w:color w:val="4F81BD"/>
          <w:sz w:val="26"/>
          <w:lang w:eastAsia="cs-CZ"/>
        </w:rPr>
        <w:t xml:space="preserve">Vzor žádosti </w:t>
      </w:r>
    </w:p>
    <w:p w14:paraId="624ABF6B" w14:textId="77777777" w:rsidR="00F36493" w:rsidRPr="00F36493" w:rsidRDefault="00F36493" w:rsidP="00F36493">
      <w:pPr>
        <w:spacing w:after="216"/>
        <w:ind w:left="-5" w:hanging="10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i/>
          <w:color w:val="FF0000"/>
          <w:lang w:eastAsia="cs-CZ"/>
        </w:rPr>
        <w:t>Dokument uveden v příloze</w:t>
      </w:r>
      <w:r w:rsidRPr="00F36493">
        <w:rPr>
          <w:rFonts w:eastAsia="Arial" w:cstheme="minorHAnsi"/>
          <w:i/>
          <w:color w:val="000000"/>
          <w:lang w:eastAsia="cs-CZ"/>
        </w:rPr>
        <w:t xml:space="preserve">. </w:t>
      </w:r>
    </w:p>
    <w:p w14:paraId="689E4FF9" w14:textId="77777777" w:rsidR="00F36493" w:rsidRPr="00F36493" w:rsidRDefault="00F36493" w:rsidP="00F36493">
      <w:pPr>
        <w:spacing w:after="218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color w:val="000000"/>
          <w:lang w:eastAsia="cs-CZ"/>
        </w:rPr>
        <w:t xml:space="preserve"> </w:t>
      </w:r>
    </w:p>
    <w:p w14:paraId="1C6EF713" w14:textId="77777777" w:rsidR="00F36493" w:rsidRPr="00F36493" w:rsidRDefault="00F36493" w:rsidP="00F36493">
      <w:pPr>
        <w:spacing w:after="0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b/>
          <w:i/>
          <w:color w:val="000000"/>
          <w:lang w:eastAsia="cs-CZ"/>
        </w:rPr>
        <w:t xml:space="preserve"> </w:t>
      </w:r>
    </w:p>
    <w:p w14:paraId="680951CA" w14:textId="77777777" w:rsidR="00F36493" w:rsidRPr="00F36493" w:rsidRDefault="00F36493" w:rsidP="00F36493">
      <w:pPr>
        <w:spacing w:after="0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b/>
          <w:i/>
          <w:color w:val="000000"/>
          <w:lang w:eastAsia="cs-CZ"/>
        </w:rPr>
        <w:t xml:space="preserve"> </w:t>
      </w:r>
    </w:p>
    <w:p w14:paraId="4893B3EF" w14:textId="77777777" w:rsidR="00F36493" w:rsidRPr="00F36493" w:rsidRDefault="00F36493" w:rsidP="00F36493">
      <w:pPr>
        <w:spacing w:after="17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b/>
          <w:i/>
          <w:color w:val="000000"/>
          <w:lang w:eastAsia="cs-CZ"/>
        </w:rPr>
        <w:t xml:space="preserve"> </w:t>
      </w:r>
    </w:p>
    <w:p w14:paraId="656AB3D6" w14:textId="77777777" w:rsidR="00F36493" w:rsidRPr="00F36493" w:rsidRDefault="00F36493" w:rsidP="00F36493">
      <w:pPr>
        <w:spacing w:after="0"/>
        <w:ind w:left="-5" w:hanging="10"/>
        <w:rPr>
          <w:rFonts w:eastAsia="Arial" w:cstheme="minorHAnsi"/>
          <w:bCs/>
          <w:iCs/>
          <w:color w:val="000000"/>
          <w:lang w:eastAsia="cs-CZ"/>
        </w:rPr>
      </w:pPr>
      <w:r w:rsidRPr="00F36493">
        <w:rPr>
          <w:rFonts w:eastAsia="Arial" w:cstheme="minorHAnsi"/>
          <w:bCs/>
          <w:iCs/>
          <w:color w:val="000000"/>
          <w:lang w:eastAsia="cs-CZ"/>
        </w:rPr>
        <w:t xml:space="preserve">Potvrzení o zveřejnění na úřední desce Obecního úřadu Týn nad Bečvou:  </w:t>
      </w:r>
    </w:p>
    <w:p w14:paraId="4981F4AE" w14:textId="77777777" w:rsidR="00F36493" w:rsidRPr="00F36493" w:rsidRDefault="00F36493" w:rsidP="00F36493">
      <w:pPr>
        <w:spacing w:after="16"/>
        <w:rPr>
          <w:rFonts w:eastAsia="Arial" w:cstheme="minorHAnsi"/>
          <w:bCs/>
          <w:iCs/>
          <w:color w:val="000000"/>
          <w:lang w:eastAsia="cs-CZ"/>
        </w:rPr>
      </w:pPr>
      <w:r w:rsidRPr="00F36493">
        <w:rPr>
          <w:rFonts w:eastAsia="Arial" w:cstheme="minorHAnsi"/>
          <w:bCs/>
          <w:iCs/>
          <w:color w:val="000000"/>
          <w:lang w:eastAsia="cs-CZ"/>
        </w:rPr>
        <w:t xml:space="preserve"> </w:t>
      </w:r>
    </w:p>
    <w:p w14:paraId="19948C2F" w14:textId="77777777" w:rsidR="00F36493" w:rsidRPr="00F36493" w:rsidRDefault="00F36493" w:rsidP="00F36493">
      <w:pPr>
        <w:spacing w:after="0"/>
        <w:ind w:left="-5" w:hanging="10"/>
        <w:rPr>
          <w:rFonts w:eastAsia="Arial" w:cstheme="minorHAnsi"/>
          <w:bCs/>
          <w:iCs/>
          <w:color w:val="000000"/>
          <w:lang w:eastAsia="cs-CZ"/>
        </w:rPr>
      </w:pPr>
      <w:r w:rsidRPr="00F36493">
        <w:rPr>
          <w:rFonts w:eastAsia="Arial" w:cstheme="minorHAnsi"/>
          <w:bCs/>
          <w:iCs/>
          <w:color w:val="000000"/>
          <w:lang w:eastAsia="cs-CZ"/>
        </w:rPr>
        <w:t xml:space="preserve">Na úřední desce pevné:  </w:t>
      </w:r>
    </w:p>
    <w:p w14:paraId="72D299CC" w14:textId="77777777" w:rsidR="00F36493" w:rsidRPr="00F36493" w:rsidRDefault="00F36493" w:rsidP="00F36493">
      <w:pPr>
        <w:spacing w:after="6"/>
        <w:rPr>
          <w:rFonts w:eastAsia="Arial" w:cstheme="minorHAnsi"/>
          <w:bCs/>
          <w:iCs/>
          <w:color w:val="000000"/>
          <w:lang w:eastAsia="cs-CZ"/>
        </w:rPr>
      </w:pPr>
      <w:r w:rsidRPr="00F36493">
        <w:rPr>
          <w:rFonts w:eastAsia="Arial" w:cstheme="minorHAnsi"/>
          <w:bCs/>
          <w:iCs/>
          <w:color w:val="000000"/>
          <w:lang w:eastAsia="cs-CZ"/>
        </w:rPr>
        <w:t xml:space="preserve"> </w:t>
      </w:r>
    </w:p>
    <w:p w14:paraId="14632631" w14:textId="77777777" w:rsidR="00F36493" w:rsidRPr="00F36493" w:rsidRDefault="00F36493" w:rsidP="00F36493">
      <w:pPr>
        <w:spacing w:after="0"/>
        <w:ind w:left="-5" w:hanging="10"/>
        <w:rPr>
          <w:rFonts w:eastAsia="Arial" w:cstheme="minorHAnsi"/>
          <w:bCs/>
          <w:iCs/>
          <w:color w:val="000000"/>
          <w:lang w:eastAsia="cs-CZ"/>
        </w:rPr>
      </w:pPr>
      <w:r w:rsidRPr="00F36493">
        <w:rPr>
          <w:rFonts w:eastAsia="Arial" w:cstheme="minorHAnsi"/>
          <w:bCs/>
          <w:iCs/>
          <w:color w:val="000000"/>
          <w:lang w:eastAsia="cs-CZ"/>
        </w:rPr>
        <w:t xml:space="preserve">vyvěšeno …………. sejmuto …………. podpis --------------------------------  </w:t>
      </w:r>
    </w:p>
    <w:p w14:paraId="3ABCDBAD" w14:textId="77777777" w:rsidR="00F36493" w:rsidRPr="00F36493" w:rsidRDefault="00F36493" w:rsidP="00F36493">
      <w:pPr>
        <w:spacing w:after="0"/>
        <w:rPr>
          <w:rFonts w:eastAsia="Arial" w:cstheme="minorHAnsi"/>
          <w:bCs/>
          <w:iCs/>
          <w:color w:val="000000"/>
          <w:lang w:eastAsia="cs-CZ"/>
        </w:rPr>
      </w:pPr>
      <w:r w:rsidRPr="00F36493">
        <w:rPr>
          <w:rFonts w:eastAsia="Arial" w:cstheme="minorHAnsi"/>
          <w:bCs/>
          <w:iCs/>
          <w:color w:val="000000"/>
          <w:lang w:eastAsia="cs-CZ"/>
        </w:rPr>
        <w:t xml:space="preserve"> </w:t>
      </w:r>
    </w:p>
    <w:p w14:paraId="7A444653" w14:textId="77777777" w:rsidR="00F36493" w:rsidRPr="00F36493" w:rsidRDefault="00F36493" w:rsidP="00F36493">
      <w:pPr>
        <w:spacing w:after="16"/>
        <w:rPr>
          <w:rFonts w:eastAsia="Arial" w:cstheme="minorHAnsi"/>
          <w:bCs/>
          <w:iCs/>
          <w:color w:val="000000"/>
          <w:lang w:eastAsia="cs-CZ"/>
        </w:rPr>
      </w:pPr>
      <w:r w:rsidRPr="00F36493">
        <w:rPr>
          <w:rFonts w:eastAsia="Arial" w:cstheme="minorHAnsi"/>
          <w:bCs/>
          <w:iCs/>
          <w:color w:val="000000"/>
          <w:lang w:eastAsia="cs-CZ"/>
        </w:rPr>
        <w:t xml:space="preserve"> </w:t>
      </w:r>
    </w:p>
    <w:p w14:paraId="284ACD1F" w14:textId="77777777" w:rsidR="00F36493" w:rsidRPr="00F36493" w:rsidRDefault="00F36493" w:rsidP="00F36493">
      <w:pPr>
        <w:spacing w:after="0"/>
        <w:ind w:left="-5" w:hanging="10"/>
        <w:rPr>
          <w:rFonts w:eastAsia="Arial" w:cstheme="minorHAnsi"/>
          <w:bCs/>
          <w:iCs/>
          <w:color w:val="000000"/>
          <w:lang w:eastAsia="cs-CZ"/>
        </w:rPr>
      </w:pPr>
      <w:r w:rsidRPr="00F36493">
        <w:rPr>
          <w:rFonts w:eastAsia="Arial" w:cstheme="minorHAnsi"/>
          <w:bCs/>
          <w:iCs/>
          <w:color w:val="000000"/>
          <w:lang w:eastAsia="cs-CZ"/>
        </w:rPr>
        <w:t xml:space="preserve">Na úřední desce elektronické:  </w:t>
      </w:r>
    </w:p>
    <w:p w14:paraId="58ABF88D" w14:textId="77777777" w:rsidR="00F36493" w:rsidRPr="00F36493" w:rsidRDefault="00F36493" w:rsidP="00F36493">
      <w:pPr>
        <w:spacing w:after="3"/>
        <w:rPr>
          <w:rFonts w:eastAsia="Arial" w:cstheme="minorHAnsi"/>
          <w:bCs/>
          <w:iCs/>
          <w:color w:val="000000"/>
          <w:lang w:eastAsia="cs-CZ"/>
        </w:rPr>
      </w:pPr>
      <w:r w:rsidRPr="00F36493">
        <w:rPr>
          <w:rFonts w:eastAsia="Arial" w:cstheme="minorHAnsi"/>
          <w:bCs/>
          <w:iCs/>
          <w:color w:val="000000"/>
          <w:lang w:eastAsia="cs-CZ"/>
        </w:rPr>
        <w:t xml:space="preserve"> </w:t>
      </w:r>
    </w:p>
    <w:p w14:paraId="586B0E57" w14:textId="77777777" w:rsidR="00F36493" w:rsidRPr="00F36493" w:rsidRDefault="00F36493" w:rsidP="00F36493">
      <w:pPr>
        <w:spacing w:after="216"/>
        <w:ind w:left="-5" w:hanging="10"/>
        <w:rPr>
          <w:rFonts w:eastAsia="Arial" w:cstheme="minorHAnsi"/>
          <w:bCs/>
          <w:iCs/>
          <w:color w:val="000000"/>
          <w:lang w:eastAsia="cs-CZ"/>
        </w:rPr>
      </w:pPr>
      <w:r w:rsidRPr="00F36493">
        <w:rPr>
          <w:rFonts w:eastAsia="Arial" w:cstheme="minorHAnsi"/>
          <w:bCs/>
          <w:iCs/>
          <w:color w:val="000000"/>
          <w:lang w:eastAsia="cs-CZ"/>
        </w:rPr>
        <w:t xml:space="preserve">vyvěšeno …………. sejmuto …………. podpis -------------------------------- </w:t>
      </w:r>
    </w:p>
    <w:p w14:paraId="1E1206A2" w14:textId="77777777" w:rsidR="00F36493" w:rsidRPr="00F36493" w:rsidRDefault="00F36493" w:rsidP="00F36493">
      <w:pPr>
        <w:spacing w:after="218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i/>
          <w:color w:val="000000"/>
          <w:lang w:eastAsia="cs-CZ"/>
        </w:rPr>
        <w:t xml:space="preserve"> </w:t>
      </w:r>
    </w:p>
    <w:p w14:paraId="5D915E23" w14:textId="5EA1307C" w:rsidR="00F36493" w:rsidRPr="00F36493" w:rsidRDefault="00F36493" w:rsidP="00F36493">
      <w:pPr>
        <w:spacing w:after="218"/>
        <w:rPr>
          <w:rFonts w:eastAsia="Arial" w:cstheme="minorHAnsi"/>
          <w:color w:val="000000"/>
          <w:lang w:eastAsia="cs-CZ"/>
        </w:rPr>
      </w:pPr>
      <w:r w:rsidRPr="00F36493">
        <w:rPr>
          <w:rFonts w:eastAsia="Arial" w:cstheme="minorHAnsi"/>
          <w:i/>
          <w:color w:val="000000"/>
          <w:lang w:eastAsia="cs-CZ"/>
        </w:rPr>
        <w:t xml:space="preserve"> </w:t>
      </w:r>
    </w:p>
    <w:p w14:paraId="2CD54E84" w14:textId="77777777" w:rsidR="00F36493" w:rsidRPr="00F36493" w:rsidRDefault="00F36493" w:rsidP="00F36493">
      <w:pPr>
        <w:spacing w:after="218"/>
        <w:rPr>
          <w:rFonts w:eastAsia="Arial" w:cstheme="minorHAnsi"/>
          <w:i/>
          <w:color w:val="000000"/>
          <w:lang w:eastAsia="cs-CZ"/>
        </w:rPr>
      </w:pPr>
      <w:r w:rsidRPr="00F36493">
        <w:rPr>
          <w:rFonts w:eastAsia="Arial" w:cstheme="minorHAnsi"/>
          <w:i/>
          <w:color w:val="000000"/>
          <w:lang w:eastAsia="cs-CZ"/>
        </w:rPr>
        <w:t xml:space="preserve"> </w:t>
      </w:r>
    </w:p>
    <w:p w14:paraId="0E31E3B7" w14:textId="77777777" w:rsidR="00F36493" w:rsidRPr="00F36493" w:rsidRDefault="00F36493" w:rsidP="00F36493">
      <w:pPr>
        <w:spacing w:after="218"/>
        <w:rPr>
          <w:rFonts w:eastAsia="Arial" w:cstheme="minorHAnsi"/>
          <w:i/>
          <w:color w:val="000000"/>
          <w:lang w:eastAsia="cs-CZ"/>
        </w:rPr>
      </w:pPr>
    </w:p>
    <w:p w14:paraId="2AF99B14" w14:textId="77777777" w:rsidR="00F36493" w:rsidRPr="00F36493" w:rsidRDefault="00F36493" w:rsidP="00F36493">
      <w:pPr>
        <w:spacing w:after="218"/>
        <w:rPr>
          <w:rFonts w:eastAsia="Arial" w:cstheme="minorHAnsi"/>
          <w:i/>
          <w:color w:val="000000"/>
          <w:lang w:eastAsia="cs-CZ"/>
        </w:rPr>
      </w:pPr>
    </w:p>
    <w:p w14:paraId="44BF1F90" w14:textId="77777777" w:rsidR="00F36493" w:rsidRPr="00F36493" w:rsidRDefault="00F36493" w:rsidP="00F36493">
      <w:pPr>
        <w:spacing w:after="218"/>
        <w:rPr>
          <w:rFonts w:eastAsia="Arial" w:cstheme="minorHAnsi"/>
          <w:i/>
          <w:color w:val="000000"/>
          <w:lang w:eastAsia="cs-CZ"/>
        </w:rPr>
      </w:pPr>
    </w:p>
    <w:p w14:paraId="732AB439" w14:textId="77777777" w:rsidR="00F36493" w:rsidRPr="00F36493" w:rsidRDefault="00F36493" w:rsidP="00F36493">
      <w:pPr>
        <w:spacing w:after="218"/>
        <w:rPr>
          <w:rFonts w:eastAsia="Arial" w:cstheme="minorHAnsi"/>
          <w:i/>
          <w:color w:val="000000"/>
          <w:lang w:eastAsia="cs-CZ"/>
        </w:rPr>
      </w:pPr>
    </w:p>
    <w:p w14:paraId="35E6F788" w14:textId="66800E52" w:rsidR="00B71803" w:rsidRPr="00F36493" w:rsidRDefault="00F36493" w:rsidP="00F36493">
      <w:pPr>
        <w:spacing w:after="218"/>
        <w:jc w:val="center"/>
        <w:rPr>
          <w:rFonts w:cstheme="minorHAnsi"/>
        </w:rPr>
      </w:pPr>
      <w:r w:rsidRPr="00F36493">
        <w:rPr>
          <w:rFonts w:eastAsia="Arial" w:cstheme="minorHAnsi"/>
          <w:color w:val="000000"/>
          <w:lang w:eastAsia="cs-CZ"/>
        </w:rPr>
        <w:t>3</w:t>
      </w:r>
    </w:p>
    <w:sectPr w:rsidR="00B71803" w:rsidRPr="00F36493">
      <w:pgSz w:w="11906" w:h="16838"/>
      <w:pgMar w:top="749" w:right="1414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498B"/>
    <w:multiLevelType w:val="hybridMultilevel"/>
    <w:tmpl w:val="403ED53A"/>
    <w:lvl w:ilvl="0" w:tplc="A20C3D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C3B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663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CB0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9C4A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6A8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04D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E0C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C61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93"/>
    <w:rsid w:val="00B71803"/>
    <w:rsid w:val="00C61286"/>
    <w:rsid w:val="00F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4A85"/>
  <w15:chartTrackingRefBased/>
  <w15:docId w15:val="{8DAB4A23-C3F9-4B51-A78A-6402ADC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ynnb.cz/index.php?nid=1019&amp;lid=cs&amp;oid=2660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3</cp:revision>
  <cp:lastPrinted>2020-11-04T11:46:00Z</cp:lastPrinted>
  <dcterms:created xsi:type="dcterms:W3CDTF">2020-11-04T11:47:00Z</dcterms:created>
  <dcterms:modified xsi:type="dcterms:W3CDTF">2020-11-04T11:47:00Z</dcterms:modified>
</cp:coreProperties>
</file>